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409C" w:rsidRPr="004F409C" w:rsidRDefault="004F409C" w:rsidP="004F409C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4F9E1F"/>
          <w:kern w:val="36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4F9E1F"/>
          <w:kern w:val="36"/>
          <w:sz w:val="28"/>
          <w:szCs w:val="28"/>
          <w:lang w:eastAsia="ru-RU"/>
        </w:rPr>
        <w:t>Инновационные железнодорожные вокзальные комплексы в Сочи</w:t>
      </w:r>
    </w:p>
    <w:p w:rsidR="004F409C" w:rsidRPr="004F409C" w:rsidRDefault="004F409C" w:rsidP="004F40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F409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Новые вокзальные комплексы «Адлер» и «Олимпийский парк» станут самыми крупными и значимыми вокзалами в Южном федеральном округе.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905000" cy="3829050"/>
            <wp:effectExtent l="0" t="0" r="0" b="0"/>
            <wp:docPr id="12" name="Рисунок 12" descr="http://zvt.abok.ru/upload/Sochi-3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zvt.abok.ru/upload/Sochi-3a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82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Комплексы войдут в список лучших в России по технологической оснащенности и </w:t>
      </w:r>
      <w:proofErr w:type="spellStart"/>
      <w:r w:rsidRPr="004F409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энергоэффективности</w:t>
      </w:r>
      <w:proofErr w:type="spellEnd"/>
      <w:r w:rsidRPr="004F409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Они являются бриллиантами в оправе сложнейшего «украшения» новой транспортной инфраструктуры региона зимних Игр в Сочи в 2014 году.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Транспортное планирование в Сочи к 2014 году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подготовку транспортной инфраструктуры зимних Игр в Сочи в 2014 году включены строительство и реконструкция железнодорожных линий и вокзалов, реконструкция Международного аэропорта Сочи, строительство новых автодорог, тоннелей и подвесных канатных дорог, а также приобретение современного подвижного состава. Помимо этого, предъявляются высокие требования к качеству и безопасности транспортного обслуживания зрителей, спортсменов, официальных лиц и почетных гостей, представителей национального и международного олимпийских комитетов, международных спортивных федераций, а также средств массовой информации, технических экспертов и спонсоров.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Безусловно, этими задачами строительство транспортной инфраструктуры не ограничивается. Объекты наполнены инновациями и эффективными зелеными решениями.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Железнодорожные линии и </w:t>
      </w:r>
      <w:proofErr w:type="spellStart"/>
      <w:r w:rsidRPr="004F409C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хабы</w:t>
      </w:r>
      <w:proofErr w:type="spellEnd"/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Длина новой железнодорожной линии «Адлер – Аэропорт» составляет почти 3 км. В период проведения Игр линия обеспечит перевозку более 82 000 человек в сутки. Линия включает в себя два тоннеля общей длиной более 500 м и три эстакады. Она завершается остановочным пассажирским комплексом, примыкающим к зданию аэропорта. На остановочной площадке построены два пути и крытая пассажирская платформа. Подобная система считается удобной и безопасной. Из-за больших перепадов рельефа остановочный комплекс размещен на трех уровнях; в нем смонтированы эскалаторы и лифты.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905000" cy="2000250"/>
            <wp:effectExtent l="0" t="0" r="0" b="0"/>
            <wp:docPr id="11" name="Рисунок 11" descr="http://zvt.abok.ru/upload/Sochi-3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zvt.abok.ru/upload/Sochi-3b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В рамках развития железнодорожной инфраструктуры для обеспечения транспортного обслуживания участников и гостей Игр 2014 года в Сочи реализуется шесть основных железнодорожных проектов. Один из крупнейших – строительство совмещенной автомобильной и железной дороги от станции Адлер – </w:t>
      </w: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Альпика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-Сервис протяженностью более 45 км, которая соединяет прибрежный кластер региона Игр (Сочи, Адлер, аэропорт и Олимпийский парк) с горным кластером (Красная поляна, курорты «Роза Хутор», «Горная карусель», «Горки-город»).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Два новых вокзальных комплекса «Адлер» и «Олимпийский парк» являются основными транспортными узлами движения по железной дороге в прибрежном кластере.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Вокзальный комплекс «Адлер»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Проект реконструкции существующего вокзального комплекса железнодорожной станции Адлер предполагает сооружение нового пассажирского пригородного терминала и адаптацию вокзального комплекса </w:t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 использованию людьми с ограниченными возможностями.</w:t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В состав комплекса входят пассажирский терминал, старый реконструируемый вокзал, многоуровневая парковка на 496 </w:t>
      </w: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машино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-мест, в том числе 28 для маломобильных групп населения, транспортное обеспечение всего объекта. Здание вокзала является </w:t>
      </w: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надпутевым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 пристроенной парковкой и комнатами отдыха.</w:t>
      </w:r>
    </w:p>
    <w:p w:rsidR="004F409C" w:rsidRPr="004F409C" w:rsidRDefault="004F409C" w:rsidP="004F409C">
      <w:pPr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715000" cy="3248025"/>
            <wp:effectExtent l="0" t="0" r="0" b="9525"/>
            <wp:docPr id="10" name="Рисунок 10" descr="Вокзальный комплекс «Адлер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Вокзальный комплекс «Адлер»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409C">
        <w:rPr>
          <w:rFonts w:ascii="Times New Roman" w:eastAsia="Times New Roman" w:hAnsi="Times New Roman" w:cs="Times New Roman"/>
          <w:color w:val="FFFFFF"/>
          <w:sz w:val="28"/>
          <w:szCs w:val="28"/>
          <w:lang w:eastAsia="ru-RU"/>
        </w:rPr>
        <w:t>Вокзальный комплекс «Адлер»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Вокзальный комплекс призван повысить градостроительное значение привокзального района путем улучшения качества городской среды с органичной трансформацией привокзальной площади в общественно значимую зону.</w:t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Основная привокзальная площадь будет смещена на морскую часть комплекса, что позволит обеспечить подъезд и парковку автотранспорта, а также удобную посадку-высадку пассажиров из автобусов на платформы пригородных поездов.</w:t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Проект призван обеспечить:</w:t>
      </w:r>
    </w:p>
    <w:p w:rsidR="004F409C" w:rsidRPr="004F409C" w:rsidRDefault="004F409C" w:rsidP="004F409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высокий уровень и комфортность обслуживания пассажиров ближнего и дальнего следования;</w:t>
      </w:r>
    </w:p>
    <w:p w:rsidR="004F409C" w:rsidRPr="004F409C" w:rsidRDefault="004F409C" w:rsidP="004F409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удобную пересадку между железнодорожным, автобусным и частным транспортом;</w:t>
      </w:r>
    </w:p>
    <w:p w:rsidR="004F409C" w:rsidRPr="004F409C" w:rsidRDefault="004F409C" w:rsidP="004F409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транспортные и пересадочные потребности посетителей Игр;</w:t>
      </w:r>
    </w:p>
    <w:p w:rsidR="004F409C" w:rsidRPr="004F409C" w:rsidRDefault="004F409C" w:rsidP="004F409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потребности социально-бытового обслуживания населения привокзального района;</w:t>
      </w:r>
    </w:p>
    <w:p w:rsidR="004F409C" w:rsidRPr="004F409C" w:rsidRDefault="004F409C" w:rsidP="004F409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пешеходную и автомобильную связь морской и городской частей вокзального комплекса;</w:t>
      </w:r>
    </w:p>
    <w:p w:rsidR="004F409C" w:rsidRPr="004F409C" w:rsidRDefault="004F409C" w:rsidP="004F409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повышенный уровень эстетической и экологической составляющей побережья Черного моря.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333750" cy="1847850"/>
            <wp:effectExtent l="0" t="0" r="0" b="0"/>
            <wp:docPr id="9" name="Рисунок 9" descr="http://zvt.abok.ru/upload/Sochi-4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zvt.abok.ru/upload/Sochi-4a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09C" w:rsidRPr="004F409C" w:rsidRDefault="004F409C" w:rsidP="004F409C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Вокзал является частью общей генеральной концепции транспортного обеспечения, разработанной специально на время проведения Игр. По железнодорожным линиям «Сочи – Адлер – Олимпийский парк» (прибрежный кластер) и «Сочи – Адлер – </w:t>
      </w: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Альпика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-Сервис» (горный кластер) во время Игр будут курсировать поезда с повышенной вместимостью.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2667000" cy="5419725"/>
            <wp:effectExtent l="0" t="0" r="0" b="9525"/>
            <wp:docPr id="8" name="Рисунок 8" descr="http://zvt.abok.ru/upload/Sochi-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zvt.abok.ru/upload/Sochi-5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Пристроительстве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объекта внедрены следующие инновационные инженерные решения:</w:t>
      </w:r>
    </w:p>
    <w:p w:rsidR="004F409C" w:rsidRPr="004F409C" w:rsidRDefault="004F409C" w:rsidP="004F409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 автономного уличного освещения с использованием фонарей на солнечных панелях и со встроенными светодиодными лампами.</w:t>
      </w:r>
    </w:p>
    <w:p w:rsidR="004F409C" w:rsidRPr="004F409C" w:rsidRDefault="004F409C" w:rsidP="004F409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Система солнечных коллекторов на кровле здания для производства до </w:t>
      </w:r>
      <w:proofErr w:type="gram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70  %</w:t>
      </w:r>
      <w:proofErr w:type="gram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горячей воды на нужды вокзального комплекса; позволит снизить на 30  % расходы на отопление и горячее водоснабжение, что эквивалентно сумме порядка 5 млн руб. в год.</w:t>
      </w:r>
    </w:p>
    <w:p w:rsidR="004F409C" w:rsidRPr="004F409C" w:rsidRDefault="004F409C" w:rsidP="004F409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Энергосберегающие материалы, </w:t>
      </w: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энергоэффективные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ограждающие конструкции, обеспечивающие снижение расчетного (фактического) значения удельного расхода тепловой энергии на отопление здания от нормативного значения на 7,5 %, что соответствует классу энергосбережения С+ (нормальный) согласно СП 50.13330.2012.</w:t>
      </w:r>
    </w:p>
    <w:p w:rsidR="004F409C" w:rsidRPr="004F409C" w:rsidRDefault="004F409C" w:rsidP="004F409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Энергосберегающие компоненты освещения, динамические системы датчиков включения и выключения света, расположенные в общественных и административных помещениях.</w:t>
      </w:r>
    </w:p>
    <w:p w:rsidR="004F409C" w:rsidRPr="004F409C" w:rsidRDefault="004F409C" w:rsidP="004F409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Рекуперация теплоты.</w:t>
      </w:r>
    </w:p>
    <w:p w:rsidR="004F409C" w:rsidRPr="004F409C" w:rsidRDefault="004F409C" w:rsidP="004F409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Конденсационные котлы с высоким КПД.</w:t>
      </w:r>
    </w:p>
    <w:p w:rsidR="004F409C" w:rsidRPr="004F409C" w:rsidRDefault="004F409C" w:rsidP="004F409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Тонкораспыленная вода в качестве реагента в системах автоматического пожаротушения, включая водяные завесы, с интенсивностью орошения не менее 6,96 л/(</w:t>
      </w: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м•мин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и уменьшением расхода на пожаротушение по сравнению с традиционной системой в четыре раза.</w:t>
      </w:r>
    </w:p>
    <w:p w:rsidR="004F409C" w:rsidRPr="004F409C" w:rsidRDefault="004F409C" w:rsidP="004F409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Электронные контроллеры и энергосберегающее оборудование во внутренних инженерных системах здания.</w:t>
      </w:r>
    </w:p>
    <w:p w:rsidR="004F409C" w:rsidRPr="004F409C" w:rsidRDefault="004F409C" w:rsidP="004F409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Специальный инновационный монтаж кровли с применением метода </w:t>
      </w: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Heavy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Lifting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Система солнечных коллекторов компании </w:t>
      </w:r>
      <w:proofErr w:type="spellStart"/>
      <w:r w:rsidRPr="004F409C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fldChar w:fldCharType="begin"/>
      </w:r>
      <w:r w:rsidRPr="004F409C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instrText xml:space="preserve"> HYPERLINK "http://www.viessmann.ru/" </w:instrText>
      </w:r>
      <w:r w:rsidRPr="004F409C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fldChar w:fldCharType="separate"/>
      </w:r>
      <w:r w:rsidRPr="004F409C">
        <w:rPr>
          <w:rFonts w:ascii="Times New Roman" w:eastAsia="Times New Roman" w:hAnsi="Times New Roman" w:cs="Times New Roman"/>
          <w:color w:val="656565"/>
          <w:sz w:val="28"/>
          <w:szCs w:val="28"/>
          <w:u w:val="single"/>
          <w:lang w:eastAsia="ru-RU"/>
        </w:rPr>
        <w:t>Viessmann</w:t>
      </w:r>
      <w:proofErr w:type="spellEnd"/>
      <w:r w:rsidRPr="004F409C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fldChar w:fldCharType="end"/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857500" cy="2343150"/>
            <wp:effectExtent l="0" t="0" r="0" b="0"/>
            <wp:docPr id="7" name="Рисунок 7" descr="http://zvt.abok.ru/upload/Sochi-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zvt.abok.ru/upload/Sochi-7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Солнечные коллекторы, размещенные на кровле железнодорожного вокзала «Адлер», практически полностью обеспечивают потребность здания в горячей воде. Они поглощают и преобразуют солнечную энергию, переносимую видимым светом и ближним инфракрасным излучением, в тепловую. В отличие от солнечных батарей, производящих непосредственно электрический ток, внутри солнечного коллектора происходит нагрев теплоносителя (вода, воздух или антифриз), который затем применяется для подогрева воды на нужды горячего водоснабжения и отопления помещений.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здании применяются плоские солнечные коллекторы.</w:t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Система работает круглосуточно. Во время активной эксплуатации коллекторов в светлое время суток происходят нагрев холодной воды для нужд горячего водоснабжения с 10 до 60 °C и одновременно накопление энергии в 18 аккумулирующих баках емкостью 3 100 м3 каждый. Когда мощность солнечного излучения приближается к минимуму (ночь, раннее утро, пасмурный день, вечер), нагрев воды осуществляется за счет накопленной энергии и газовой котельной. Аккумулирующие баки способны удерживать теплоту до нескольких суток без дополнительной подпитки тепловой энергией.</w:t>
      </w:r>
    </w:p>
    <w:tbl>
      <w:tblPr>
        <w:tblW w:w="921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210"/>
      </w:tblGrid>
      <w:tr w:rsidR="004F409C" w:rsidRPr="004F409C" w:rsidTr="004F409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409C" w:rsidRPr="004F409C" w:rsidRDefault="004F409C" w:rsidP="004F409C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409C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5715000" cy="2714625"/>
                  <wp:effectExtent l="0" t="0" r="0" b="9525"/>
                  <wp:docPr id="6" name="Рисунок 6" descr="http://zvt.abok.ru/upload/Sochi-7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zvt.abok.ru/upload/Sochi-7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0" cy="271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409C" w:rsidRPr="004F409C" w:rsidTr="004F409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409C" w:rsidRPr="004F409C" w:rsidRDefault="004F409C" w:rsidP="004F409C">
            <w:pPr>
              <w:spacing w:before="100" w:beforeAutospacing="1" w:after="100" w:afterAutospacing="1" w:line="240" w:lineRule="auto"/>
              <w:jc w:val="both"/>
              <w:outlineLvl w:val="4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4F40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Для обеспечения требуемого расхода горячей воды на вокзале «Адлер» предусмотрена установка 320 плоских солнечных коллекторов фирмы </w:t>
            </w:r>
            <w:proofErr w:type="spellStart"/>
            <w:r w:rsidRPr="004F40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Viеssmann</w:t>
            </w:r>
            <w:proofErr w:type="spellEnd"/>
            <w:r w:rsidRPr="004F40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(тип </w:t>
            </w:r>
            <w:proofErr w:type="spellStart"/>
            <w:r w:rsidRPr="004F40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Vitosol</w:t>
            </w:r>
            <w:proofErr w:type="spellEnd"/>
            <w:r w:rsidRPr="004F40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100</w:t>
            </w:r>
            <w:r w:rsidRPr="004F40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noBreakHyphen/>
              <w:t>F SV1). Коллекторы монтируются непосредственно на крышу здания в ряды по 10 штук в каждом (32 ряда). Согласно проекту эксплуатационный расход горячей воды не превышает 60 м</w:t>
            </w:r>
            <w:r w:rsidRPr="004F40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vertAlign w:val="superscript"/>
                <w:lang w:eastAsia="ru-RU"/>
              </w:rPr>
              <w:t>3</w:t>
            </w:r>
            <w:r w:rsidRPr="004F40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/</w:t>
            </w:r>
            <w:proofErr w:type="spellStart"/>
            <w:r w:rsidRPr="004F40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сут</w:t>
            </w:r>
            <w:proofErr w:type="spellEnd"/>
          </w:p>
        </w:tc>
      </w:tr>
    </w:tbl>
    <w:p w:rsidR="004F409C" w:rsidRPr="004F409C" w:rsidRDefault="004F409C" w:rsidP="004F409C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Автономное уличное освещение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рамках реконструкции вокзала «Адлер» запланирована поставка автономных опор производства компании THORN (</w:t>
      </w: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Dyana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LED – </w:t>
      </w: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Touche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Solar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Column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4F409C" w:rsidRPr="004F409C" w:rsidRDefault="004F409C" w:rsidP="004F409C">
      <w:pPr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895975" cy="3162300"/>
            <wp:effectExtent l="0" t="0" r="9525" b="0"/>
            <wp:docPr id="5" name="Рисунок 5" descr="Автономные опоры фирмы THORN, которые будут установлены на вокзале «Адлер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Автономные опоры фирмы THORN, которые будут установлены на вокзале «Адлер»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409C">
        <w:rPr>
          <w:rFonts w:ascii="Times New Roman" w:eastAsia="Times New Roman" w:hAnsi="Times New Roman" w:cs="Times New Roman"/>
          <w:color w:val="FFFFFF"/>
          <w:sz w:val="28"/>
          <w:szCs w:val="28"/>
          <w:lang w:eastAsia="ru-RU"/>
        </w:rPr>
        <w:t>Автономные опоры фирмы THORN, которые будут установлены на вокзале «Адлер»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Генерируемая мощность фотоэлектрических преобразователей составит от 255 до 510 Вт в зависимости от времени года с возможностью отдачи избыточной электроэнергии в сеть.</w:t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Каждая опора снабжена двумя аккумуляторными батареями AGM </w:t>
      </w: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Battery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24 В/50 </w:t>
      </w: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А•ч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что позволит светильнику продолжать работать в течение четырех-пяти дней при отсутствии солнца. Фотоэлектрические преобразователи имеют срок эксплуатации 20 лет.</w:t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Светильники антивандальные, защищены ударопрочным поликарбонатом. Управление светильником осуществляется автоматически по сигналу от сенсорного датчика интенсивности внешнего освещения. Колонны опор выполнены из алюминия с возможностью последующей </w:t>
      </w:r>
      <w:proofErr w:type="gram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100  %</w:t>
      </w:r>
      <w:proofErr w:type="gram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-й переработки.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r w:rsidRPr="004F409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715000" cy="6677025"/>
            <wp:effectExtent l="0" t="0" r="0" b="9525"/>
            <wp:docPr id="4" name="Рисунок 4" descr="http://zvt.abok.ru/upload/Sochi-8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zvt.abok.ru/upload/Sochi-8a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7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Вокзальный комплекс «Олимпийский парк»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Вокзальный комплекс «Олимпийский парк» задуман как транспортный пересадочный узел. На его территории размещены здание вокзала с перронными путями и платформами, привокзальная площадь, парковка на 124 </w:t>
      </w: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машино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-места, в том числе 13 мест для маломобильных групп населения; организованы подъезды к вокзалу для автотранспорта. На привокзальной площади предусматривается также строительство автовокзала с перронами для посадки и высадки пассажиров.</w:t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  <w:t>Вокзальный комплекс «Олимпийский парк» рассчитан на максимальный пассажиропоток 8 500 человек в час пик в период Игр и 5 400 человек в час пик в последующий период.</w:t>
      </w:r>
    </w:p>
    <w:p w:rsidR="004F409C" w:rsidRPr="004F409C" w:rsidRDefault="004F409C" w:rsidP="004F409C">
      <w:pPr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715000" cy="3228975"/>
            <wp:effectExtent l="0" t="0" r="0" b="9525"/>
            <wp:docPr id="3" name="Рисунок 3" descr="Каждая опора снабжена аккумуляторными батареями AGM Batt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Каждая опора снабжена аккумуляторными батареями AGM Battery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409C">
        <w:rPr>
          <w:rFonts w:ascii="Times New Roman" w:eastAsia="Times New Roman" w:hAnsi="Times New Roman" w:cs="Times New Roman"/>
          <w:color w:val="FFFFFF"/>
          <w:sz w:val="28"/>
          <w:szCs w:val="28"/>
          <w:lang w:eastAsia="ru-RU"/>
        </w:rPr>
        <w:t xml:space="preserve">Каждая опора снабжена аккумуляторными батареями AGM </w:t>
      </w:r>
      <w:proofErr w:type="spellStart"/>
      <w:r w:rsidRPr="004F409C">
        <w:rPr>
          <w:rFonts w:ascii="Times New Roman" w:eastAsia="Times New Roman" w:hAnsi="Times New Roman" w:cs="Times New Roman"/>
          <w:color w:val="FFFFFF"/>
          <w:sz w:val="28"/>
          <w:szCs w:val="28"/>
          <w:lang w:eastAsia="ru-RU"/>
        </w:rPr>
        <w:t>Battery</w:t>
      </w:r>
      <w:proofErr w:type="spellEnd"/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Обеспечение стандартов безопасности и эффективность логистической схемы достигаются во многом за счет размежевания в пространстве транспортных и пешеходных потоков – привокзальная площадь размещается на двух уровнях. Нижний уровень отведен для транспорта, верхний – исключительно для пешеходов. С верхнего уровня площади по лестницам, пандусам, лифтам и </w:t>
      </w: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траволаторам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пассажиры попадают непосредственно к входу в Олимпийский парк. Данное решение связано с объемно-планировочным решением вокзала </w:t>
      </w: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конкорсного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типа, т. е. часть вокзального комплекса для пригородных направлений расположится под путями, а помещения для обслуживания </w:t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пассажиров дальнего следования – над путями.</w:t>
      </w:r>
      <w:r w:rsidRPr="004F409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905000" cy="5572125"/>
            <wp:effectExtent l="0" t="0" r="0" b="9525"/>
            <wp:docPr id="2" name="Рисунок 2" descr="http://zvt.abok.ru/upload/Sochi-9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zvt.abok.ru/upload/Sochi-9a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 проекте предусмотрены все необходимые элементы инфраструктуры для посетителей и персонала вокзала, пользующихся велосипедами. На территории объекта предусмотрены дорожки для велосипедного транспорта, соединенные с внешней сетью велосипедных дорожек. На привокзальной территории велосипедные дорожки отделены от проезжей части. На расстоянии менее 100 м от главного входа в вокзал запроектированы две крытые парковки для велосипедов: на 60 и 140 мест. На расстоянии не более 60 м от главного входа в вокзал будут расположены гардеробные и душевые.</w:t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Экологически положительный эффект от воплощения проекта заключается в обеспечении массовой перевозки на общественном транспорте (как альтернативе личному автотранспорту) и в создании условий для пользования велосипедами, что ведет к снижению загрязнения атмосферы.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 xml:space="preserve">Система фотоэлектрических преобразователей компании </w:t>
      </w:r>
      <w:proofErr w:type="spellStart"/>
      <w:r w:rsidRPr="004F409C">
        <w:rPr>
          <w:rFonts w:ascii="Times New Roman" w:eastAsia="Times New Roman" w:hAnsi="Times New Roman" w:cs="Times New Roman"/>
          <w:color w:val="656565"/>
          <w:sz w:val="28"/>
          <w:szCs w:val="28"/>
          <w:lang w:eastAsia="ru-RU"/>
        </w:rPr>
        <w:t>Pramac</w:t>
      </w:r>
      <w:proofErr w:type="spellEnd"/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Установка системы фотоэлектрических преобразователей предусмотрена на кровле здания и навесах платформ вокзала. Запланировано применение 1 022 преобразователей </w:t>
      </w: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Pramac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Luce</w:t>
      </w:r>
      <w:proofErr w:type="spell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MCPH P7ZL мощностью 125 Вт каждый. Система фотоэлектрических преобразователей пиковой мощностью 125 кВт обеспечит получение электроэнергии в размере </w:t>
      </w:r>
      <w:proofErr w:type="gram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5  %</w:t>
      </w:r>
      <w:proofErr w:type="gram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 годового электропотребления вокзала.</w:t>
      </w:r>
    </w:p>
    <w:p w:rsidR="004F409C" w:rsidRPr="004F409C" w:rsidRDefault="004F409C" w:rsidP="004F40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Установка состоит из модулей-преобразователей, размещаемых на металлических конструкциях, и инверторов, преобразующих постоянный ток в переменный (380 В). Подключение модулей фотоэлектрических преобразователей происходит последовательно-параллельным соединением. Модули объединяются в цепочку, цепочки через коммутационную коробку подключаются к инвертору. Преобразованная энергия от инверторов поступает в силовой щит и далее в сеть вокзала. При этом </w:t>
      </w:r>
      <w:proofErr w:type="gramStart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электро-энергия</w:t>
      </w:r>
      <w:proofErr w:type="gramEnd"/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 системы фотоэлектрических преобразователей потребляется в первую очередь, уменьшая нагрузку на внешнюю электрическую сеть. Система работает автоматически и требует минимального привлечения технического персонала.</w:t>
      </w:r>
    </w:p>
    <w:p w:rsidR="004F409C" w:rsidRPr="004F409C" w:rsidRDefault="004F409C" w:rsidP="004F409C">
      <w:pPr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09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715000" cy="7286625"/>
            <wp:effectExtent l="0" t="0" r="0" b="9525"/>
            <wp:docPr id="1" name="Рисунок 1" descr="Железнодорожный вокзал «Олимпийский парк». Октябрь 2012 го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Железнодорожный вокзал «Олимпийский парк». Октябрь 2012 года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28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409C">
        <w:rPr>
          <w:rFonts w:ascii="Times New Roman" w:eastAsia="Times New Roman" w:hAnsi="Times New Roman" w:cs="Times New Roman"/>
          <w:color w:val="FFFFFF"/>
          <w:sz w:val="28"/>
          <w:szCs w:val="28"/>
          <w:lang w:eastAsia="ru-RU"/>
        </w:rPr>
        <w:t>Железнодорожный вокзал «Олимпийский парк». Октябрь 2012 года</w:t>
      </w:r>
    </w:p>
    <w:p w:rsidR="007833D6" w:rsidRPr="004F409C" w:rsidRDefault="004F409C" w:rsidP="004F409C">
      <w:pPr>
        <w:jc w:val="both"/>
        <w:rPr>
          <w:rFonts w:ascii="Times New Roman" w:hAnsi="Times New Roman" w:cs="Times New Roman"/>
          <w:sz w:val="28"/>
          <w:szCs w:val="28"/>
        </w:rPr>
      </w:pP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F40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4F409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Статья подготовлена по материалам публичных отчетов о внедрении стандартов зеленого строительства, публикуемых АНО «Оргкомитет “Сочи</w:t>
      </w:r>
      <w:r w:rsidRPr="004F409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noBreakHyphen/>
        <w:t>2014”», и презентации ООО «НПО «Мостовик», разработанной для участия в конкурсе 2011 года в рамках Программы признания достижений в сфере зеленого строительства.</w:t>
      </w:r>
    </w:p>
    <w:sectPr w:rsidR="007833D6" w:rsidRPr="004F40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81C06"/>
    <w:multiLevelType w:val="multilevel"/>
    <w:tmpl w:val="A0B0F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F884E6A"/>
    <w:multiLevelType w:val="multilevel"/>
    <w:tmpl w:val="0E30A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961"/>
    <w:rsid w:val="004F409C"/>
    <w:rsid w:val="007833D6"/>
    <w:rsid w:val="008C4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B7944E-DE31-4233-983C-CA62EE0F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F40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5">
    <w:name w:val="heading 5"/>
    <w:basedOn w:val="a"/>
    <w:link w:val="50"/>
    <w:uiPriority w:val="9"/>
    <w:qFormat/>
    <w:rsid w:val="004F409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F409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4F409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4F4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F409C"/>
    <w:rPr>
      <w:b/>
      <w:bCs/>
    </w:rPr>
  </w:style>
  <w:style w:type="character" w:customStyle="1" w:styleId="caption">
    <w:name w:val="caption"/>
    <w:basedOn w:val="a0"/>
    <w:rsid w:val="004F409C"/>
  </w:style>
  <w:style w:type="character" w:styleId="a5">
    <w:name w:val="Hyperlink"/>
    <w:basedOn w:val="a0"/>
    <w:uiPriority w:val="99"/>
    <w:semiHidden/>
    <w:unhideWhenUsed/>
    <w:rsid w:val="004F409C"/>
    <w:rPr>
      <w:color w:val="0000FF"/>
      <w:u w:val="single"/>
    </w:rPr>
  </w:style>
  <w:style w:type="character" w:styleId="a6">
    <w:name w:val="Emphasis"/>
    <w:basedOn w:val="a0"/>
    <w:uiPriority w:val="20"/>
    <w:qFormat/>
    <w:rsid w:val="004F409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7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678116">
          <w:marLeft w:val="0"/>
          <w:marRight w:val="75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8339">
          <w:marLeft w:val="0"/>
          <w:marRight w:val="75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61126">
          <w:marLeft w:val="0"/>
          <w:marRight w:val="75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8107">
          <w:marLeft w:val="0"/>
          <w:marRight w:val="75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gif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1781</Words>
  <Characters>10155</Characters>
  <Application>Microsoft Office Word</Application>
  <DocSecurity>0</DocSecurity>
  <Lines>84</Lines>
  <Paragraphs>23</Paragraphs>
  <ScaleCrop>false</ScaleCrop>
  <Company/>
  <LinksUpToDate>false</LinksUpToDate>
  <CharactersWithSpaces>11913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2022-12-12T06:38:00Z</dcterms:created>
  <dcterms:modified xsi:type="dcterms:W3CDTF">2022-12-12T06:38:00Z</dcterms:modified>
</cp:coreProperties>
</file>